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59904">
      <w:pPr>
        <w:rPr>
          <w:rFonts w:hint="eastAsia" w:ascii="方正小标宋简体" w:hAnsi="方正小标宋简体" w:eastAsia="方正小标宋简体" w:cs="方正小标宋简体"/>
          <w:b w:val="0"/>
          <w:bCs w:val="0"/>
          <w:sz w:val="32"/>
          <w:szCs w:val="32"/>
        </w:rPr>
      </w:pPr>
      <w:r>
        <w:rPr>
          <w:rFonts w:hint="eastAsia" w:ascii="黑体" w:hAnsi="黑体" w:eastAsia="黑体" w:cs="Times New Roman"/>
          <w:b w:val="0"/>
          <w:bCs w:val="0"/>
          <w:sz w:val="32"/>
          <w:szCs w:val="32"/>
        </w:rPr>
        <w:t>附件</w:t>
      </w:r>
      <w:r>
        <w:rPr>
          <w:rFonts w:hint="eastAsia" w:ascii="黑体" w:hAnsi="黑体" w:eastAsia="黑体" w:cs="Times New Roman"/>
          <w:b w:val="0"/>
          <w:bCs w:val="0"/>
          <w:sz w:val="32"/>
          <w:szCs w:val="32"/>
          <w:lang w:val="en-US" w:eastAsia="zh-CN"/>
        </w:rPr>
        <w:t>1</w:t>
      </w:r>
      <w:r>
        <w:rPr>
          <w:rFonts w:hint="eastAsia" w:ascii="黑体" w:hAnsi="黑体" w:eastAsia="黑体" w:cs="Times New Roman"/>
          <w:b w:val="0"/>
          <w:bCs w:val="0"/>
          <w:sz w:val="32"/>
          <w:szCs w:val="32"/>
        </w:rPr>
        <w:t>：</w:t>
      </w:r>
    </w:p>
    <w:p w14:paraId="71ECB0B4">
      <w:pPr>
        <w:keepNext w:val="0"/>
        <w:keepLines w:val="0"/>
        <w:pageBreakBefore w:val="0"/>
        <w:widowControl w:val="0"/>
        <w:tabs>
          <w:tab w:val="left" w:pos="29"/>
        </w:tabs>
        <w:kinsoku/>
        <w:wordWrap/>
        <w:overflowPunct/>
        <w:topLinePunct w:val="0"/>
        <w:autoSpaceDE/>
        <w:autoSpaceDN/>
        <w:bidi w:val="0"/>
        <w:adjustRightInd/>
        <w:snapToGrid/>
        <w:spacing w:line="578" w:lineRule="exact"/>
        <w:ind w:left="278"/>
        <w:jc w:val="center"/>
        <w:textAlignment w:val="auto"/>
        <w:rPr>
          <w:rFonts w:hint="eastAsia" w:ascii="方正小标宋简体" w:hAnsi="方正小标宋简体" w:eastAsia="方正小标宋简体" w:cs="方正小标宋简体"/>
          <w:b w:val="0"/>
          <w:bCs w:val="0"/>
          <w:sz w:val="44"/>
          <w:szCs w:val="44"/>
        </w:rPr>
      </w:pPr>
    </w:p>
    <w:p w14:paraId="51935CE0">
      <w:pPr>
        <w:keepNext w:val="0"/>
        <w:keepLines w:val="0"/>
        <w:pageBreakBefore w:val="0"/>
        <w:widowControl w:val="0"/>
        <w:tabs>
          <w:tab w:val="left" w:pos="29"/>
        </w:tabs>
        <w:kinsoku/>
        <w:wordWrap/>
        <w:overflowPunct/>
        <w:topLinePunct w:val="0"/>
        <w:autoSpaceDE/>
        <w:autoSpaceDN/>
        <w:bidi w:val="0"/>
        <w:adjustRightInd/>
        <w:snapToGrid/>
        <w:spacing w:line="578" w:lineRule="exact"/>
        <w:ind w:left="278"/>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南京航空天大学</w:t>
      </w:r>
    </w:p>
    <w:p w14:paraId="1F71ADEA">
      <w:pPr>
        <w:keepNext w:val="0"/>
        <w:keepLines w:val="0"/>
        <w:pageBreakBefore w:val="0"/>
        <w:widowControl w:val="0"/>
        <w:tabs>
          <w:tab w:val="left" w:pos="29"/>
        </w:tabs>
        <w:kinsoku/>
        <w:wordWrap/>
        <w:overflowPunct/>
        <w:topLinePunct w:val="0"/>
        <w:autoSpaceDE/>
        <w:autoSpaceDN/>
        <w:bidi w:val="0"/>
        <w:adjustRightInd/>
        <w:snapToGrid/>
        <w:spacing w:line="578" w:lineRule="exact"/>
        <w:ind w:left="278"/>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卓越工程师培养改革战略研究课题指南</w:t>
      </w:r>
    </w:p>
    <w:p w14:paraId="3B7EB4A1">
      <w:pPr>
        <w:keepNext w:val="0"/>
        <w:keepLines w:val="0"/>
        <w:pageBreakBefore w:val="0"/>
        <w:widowControl w:val="0"/>
        <w:tabs>
          <w:tab w:val="left" w:pos="29"/>
        </w:tabs>
        <w:kinsoku/>
        <w:wordWrap/>
        <w:overflowPunct/>
        <w:topLinePunct w:val="0"/>
        <w:autoSpaceDE/>
        <w:autoSpaceDN/>
        <w:bidi w:val="0"/>
        <w:adjustRightInd/>
        <w:snapToGrid/>
        <w:spacing w:line="578" w:lineRule="exact"/>
        <w:ind w:left="278"/>
        <w:jc w:val="center"/>
        <w:textAlignment w:val="auto"/>
        <w:rPr>
          <w:rFonts w:hint="eastAsia" w:ascii="方正小标宋简体" w:hAnsi="方正小标宋简体" w:eastAsia="方正小标宋简体" w:cs="方正小标宋简体"/>
          <w:b w:val="0"/>
          <w:bCs w:val="0"/>
          <w:sz w:val="44"/>
          <w:szCs w:val="44"/>
          <w:lang w:val="en-US" w:eastAsia="zh-CN"/>
        </w:rPr>
      </w:pPr>
    </w:p>
    <w:p w14:paraId="33C5CE6E">
      <w:pPr>
        <w:spacing w:line="560" w:lineRule="exact"/>
        <w:ind w:firstLine="640" w:firstLineChars="200"/>
        <w:rPr>
          <w:rFonts w:hint="default" w:ascii="黑体" w:hAnsi="黑体" w:eastAsia="黑体" w:cs="黑体"/>
          <w:bCs/>
          <w:color w:val="0F1115"/>
          <w:sz w:val="32"/>
          <w:szCs w:val="32"/>
          <w:lang w:val="en-US" w:eastAsia="zh-CN"/>
        </w:rPr>
      </w:pPr>
      <w:r>
        <w:rPr>
          <w:rFonts w:hint="eastAsia" w:ascii="黑体" w:hAnsi="黑体" w:eastAsia="黑体" w:cs="黑体"/>
          <w:bCs/>
          <w:color w:val="0F1115"/>
          <w:sz w:val="32"/>
          <w:szCs w:val="32"/>
          <w:lang w:val="en-US" w:eastAsia="zh-CN"/>
        </w:rPr>
        <w:t>一、卓越工程师培养模式改革与实践创新研究项目</w:t>
      </w:r>
    </w:p>
    <w:p w14:paraId="4479745F">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3" w:firstLineChars="200"/>
        <w:textAlignment w:val="auto"/>
        <w:rPr>
          <w:rFonts w:hint="eastAsia" w:ascii="Times New Roman" w:hAnsi="Times New Roman" w:eastAsia="仿宋_GB2312" w:cs="Times New Roman"/>
          <w:b/>
          <w:bCs/>
          <w:color w:val="000000"/>
          <w:sz w:val="32"/>
          <w:szCs w:val="32"/>
          <w:lang w:val="en-US" w:eastAsia="zh-CN"/>
        </w:rPr>
      </w:pPr>
      <w:r>
        <w:rPr>
          <w:rFonts w:hint="eastAsia" w:ascii="Times New Roman" w:hAnsi="Times New Roman" w:eastAsia="仿宋_GB2312" w:cs="Times New Roman"/>
          <w:b/>
          <w:bCs/>
          <w:color w:val="000000"/>
          <w:kern w:val="2"/>
          <w:sz w:val="32"/>
          <w:szCs w:val="32"/>
          <w:lang w:val="en-US" w:eastAsia="zh-CN" w:bidi="ar-SA"/>
        </w:rPr>
        <w:t>（一）卓</w:t>
      </w:r>
      <w:r>
        <w:rPr>
          <w:rFonts w:hint="eastAsia" w:ascii="Times New Roman" w:hAnsi="Times New Roman" w:eastAsia="仿宋_GB2312" w:cs="Times New Roman"/>
          <w:b/>
          <w:bCs/>
          <w:color w:val="000000"/>
          <w:kern w:val="2"/>
          <w:sz w:val="32"/>
          <w:szCs w:val="32"/>
          <w:lang w:val="en-US" w:eastAsia="zh-CN" w:bidi="ar-SA"/>
        </w:rPr>
        <w:t>越工程师工学交替培养的党建思政工作创新研究</w:t>
      </w:r>
    </w:p>
    <w:p w14:paraId="00466CD9">
      <w:pPr>
        <w:spacing w:line="560" w:lineRule="exact"/>
        <w:ind w:firstLine="640" w:firstLineChars="200"/>
        <w:rPr>
          <w:rFonts w:hint="eastAsia" w:ascii="仿宋_GB2312" w:hAnsi="仿宋_GB2312" w:eastAsia="仿宋_GB2312" w:cs="仿宋_GB2312"/>
          <w:bCs/>
          <w:color w:val="0F1115"/>
          <w:sz w:val="32"/>
          <w:szCs w:val="32"/>
          <w:lang w:val="en-US" w:eastAsia="zh-CN"/>
        </w:rPr>
      </w:pPr>
      <w:r>
        <w:rPr>
          <w:rFonts w:hint="eastAsia" w:ascii="仿宋_GB2312" w:hAnsi="仿宋_GB2312" w:eastAsia="仿宋_GB2312" w:cs="仿宋_GB2312"/>
          <w:bCs/>
          <w:color w:val="0F1115"/>
          <w:sz w:val="32"/>
          <w:szCs w:val="32"/>
          <w:lang w:val="en-US" w:eastAsia="zh-CN"/>
        </w:rPr>
        <w:t>聚焦工程硕博士入企分段实践、工学交替全过程育人场景，破解校企两地思政教育脱节、行业特色思政载体不足等现实难题。立足重大工程一线，探索校企协同思政工作体系，开发贴合工程实践、型号攻关场景的思政教育载体，构建贯穿课堂教学、企业实践、科研攻关全链条的党建引领育人新模式，形成可落地、可复制的思政工作实施办法与实践案例。</w:t>
      </w:r>
    </w:p>
    <w:p w14:paraId="1DA8F209">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3" w:firstLineChars="200"/>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（二）卓越工程师产教融合培养方案重构与优化研究</w:t>
      </w:r>
    </w:p>
    <w:p w14:paraId="0AF1D8DE">
      <w:pPr>
        <w:spacing w:line="560" w:lineRule="exact"/>
        <w:ind w:firstLine="640" w:firstLineChars="200"/>
        <w:rPr>
          <w:rFonts w:hint="eastAsia" w:ascii="仿宋_GB2312" w:hAnsi="仿宋_GB2312" w:eastAsia="仿宋_GB2312" w:cs="仿宋_GB2312"/>
          <w:bCs/>
          <w:color w:val="0F1115"/>
          <w:sz w:val="32"/>
          <w:szCs w:val="32"/>
          <w:lang w:val="en-US" w:eastAsia="zh-CN"/>
        </w:rPr>
      </w:pPr>
      <w:r>
        <w:rPr>
          <w:rFonts w:hint="eastAsia" w:ascii="仿宋_GB2312" w:hAnsi="仿宋_GB2312" w:eastAsia="仿宋_GB2312" w:cs="仿宋_GB2312"/>
          <w:bCs/>
          <w:color w:val="0F1115"/>
          <w:sz w:val="32"/>
          <w:szCs w:val="32"/>
          <w:lang w:val="en-US" w:eastAsia="zh-CN"/>
        </w:rPr>
        <w:t>紧扣产业发展需求与重大型号工程任务，针对现有工程人才培养方案与行业岗位能力需求适配不足等痛点，联动行业龙头企业共同开展人才能力需求调研。从培养目标、核心课程、工程实践、考核评价、校企协同管理等维度重构优化培养方案，打通校园理论教学与企业工程实践壁垒，产出适配卓越工程师的标准化培养方案范本与配套实施细则。</w:t>
      </w:r>
    </w:p>
    <w:p w14:paraId="525915AF">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3" w:firstLineChars="200"/>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（三）卓越工程师本研贯通培养路径研究</w:t>
      </w:r>
    </w:p>
    <w:p w14:paraId="29ECD68E">
      <w:pPr>
        <w:spacing w:line="560" w:lineRule="exact"/>
        <w:ind w:firstLine="640" w:firstLineChars="200"/>
        <w:rPr>
          <w:rFonts w:hint="eastAsia" w:ascii="Times New Roman" w:hAnsi="Times New Roman" w:eastAsia="仿宋_GB2312" w:cs="Times New Roman"/>
          <w:b w:val="0"/>
          <w:bCs w:val="0"/>
          <w:color w:val="000000"/>
          <w:sz w:val="32"/>
          <w:szCs w:val="32"/>
          <w:lang w:val="en-US" w:eastAsia="zh-CN"/>
        </w:rPr>
      </w:pPr>
      <w:r>
        <w:rPr>
          <w:rFonts w:hint="eastAsia" w:ascii="仿宋_GB2312" w:hAnsi="仿宋_GB2312" w:eastAsia="仿宋_GB2312" w:cs="仿宋_GB2312"/>
          <w:bCs/>
          <w:color w:val="0F1115"/>
          <w:sz w:val="32"/>
          <w:szCs w:val="32"/>
        </w:rPr>
        <w:t>聚焦卓越工程师本研贯通培养的能力标准、课程体系、入企实践、导师指导、机制体制等开展研究，统筹本科工程基础培育与研究生高端工程创新能力塑造，打通学段培养断层，实现知识结构、工程素养、创新能力一体化有机衔接，形成完整配套管理制度、贯通式课程链条与可在校内多专业推广的标准化育人模式。</w:t>
      </w:r>
    </w:p>
    <w:p w14:paraId="48A0FE05">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3" w:firstLineChars="200"/>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（四）“卓工出海”视域下卓越工程师国际化培养路径探索与实践</w:t>
      </w:r>
    </w:p>
    <w:p w14:paraId="62784C47">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0" w:firstLineChars="200"/>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立足卓越工程师</w:t>
      </w:r>
      <w:bookmarkStart w:id="0" w:name="_GoBack"/>
      <w:bookmarkEnd w:id="0"/>
      <w:r>
        <w:rPr>
          <w:rFonts w:hint="default" w:ascii="Times New Roman" w:hAnsi="Times New Roman" w:eastAsia="仿宋_GB2312" w:cs="Times New Roman"/>
          <w:b w:val="0"/>
          <w:bCs w:val="0"/>
          <w:color w:val="000000"/>
          <w:kern w:val="2"/>
          <w:sz w:val="32"/>
          <w:szCs w:val="32"/>
          <w:lang w:val="en-US" w:eastAsia="zh-CN" w:bidi="ar-SA"/>
        </w:rPr>
        <w:t>全球工程能力培育目标，围绕 “卓工出海” 实施推进路径开展系统探索，研究构建常态化国际校企合作网络与卓越工程师国际交流合作中心运行机制，统筹境外访学、国际工程论坛、海外联合实践、外籍工程专家授课、中外卓工学院共建等多元育人载体，完善覆盖国际视野培育、跨域工程创新、海外实践管理、国际合作成效评价的全流程实施体系，为卓越工程师拓宽国际成长渠道、提升全球工程竞争能力提供成套实践方案。</w:t>
      </w:r>
    </w:p>
    <w:p w14:paraId="653F94EF">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3" w:firstLineChars="200"/>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（五）校企双导师协同育人机制构建与实施路径</w:t>
      </w:r>
    </w:p>
    <w:p w14:paraId="59774614">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0" w:firstLineChars="200"/>
        <w:textAlignment w:val="auto"/>
        <w:rPr>
          <w:rFonts w:hint="eastAsia"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针对校企双导师分工模糊、协同指导频次不足、育人权责划分不清等突出问题，结合型号研制攻关场景，明晰校内学术导师、企业工程导师岗位职责与协同工作流程。搭建常态化校企导师沟通、联合授课、联合攻关、联合评价工作机制，完善双导师选聘、培训、考核、激励配套制度，形成标准化协同育人操作路径与管理范本。</w:t>
      </w:r>
    </w:p>
    <w:p w14:paraId="4BF89143">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3" w:firstLineChars="200"/>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（六）数智赋能卓越工程师培养机制研究</w:t>
      </w:r>
    </w:p>
    <w:p w14:paraId="11CCF8AA">
      <w:pPr>
        <w:spacing w:line="560" w:lineRule="exact"/>
        <w:ind w:firstLine="640" w:firstLineChars="200"/>
        <w:rPr>
          <w:rFonts w:hint="default" w:ascii="仿宋_GB2312" w:hAnsi="仿宋_GB2312" w:eastAsia="仿宋_GB2312" w:cs="仿宋_GB2312"/>
          <w:bCs/>
          <w:color w:val="0F1115"/>
          <w:sz w:val="32"/>
          <w:szCs w:val="32"/>
          <w:lang w:val="en-US" w:eastAsia="zh-CN"/>
        </w:rPr>
      </w:pPr>
      <w:r>
        <w:rPr>
          <w:rFonts w:hint="default" w:ascii="仿宋_GB2312" w:hAnsi="仿宋_GB2312" w:eastAsia="仿宋_GB2312" w:cs="仿宋_GB2312"/>
          <w:bCs/>
          <w:color w:val="0F1115"/>
          <w:sz w:val="32"/>
          <w:szCs w:val="32"/>
          <w:lang w:val="en-US" w:eastAsia="zh-CN"/>
        </w:rPr>
        <w:t>聚焦人工智能、大数据等数智技术在卓越工程师全流程培养中的创新应用模式，探索构建数据驱动的智能化育人支撑平台与管理体系。依托数字化手段实现课堂教学成效、企业一线实践表现、校企双导师（组）育人履职情况、学生工程创新能力、整体培养质量的全过程动态监测与多维度量化评估，建立数据反馈驱动的培养质量持续改进闭环，全面推动我校卓越工程师培养体系数字化、智能化升级。</w:t>
      </w:r>
    </w:p>
    <w:p w14:paraId="73B3CBE9">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3" w:firstLineChars="200"/>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（七）卓越工程师实践成果申请学位实施路径研究</w:t>
      </w:r>
    </w:p>
    <w:p w14:paraId="0641C160">
      <w:pPr>
        <w:spacing w:line="560" w:lineRule="exact"/>
        <w:ind w:firstLine="640" w:firstLineChars="200"/>
        <w:rPr>
          <w:rFonts w:hint="default" w:ascii="仿宋_GB2312" w:hAnsi="仿宋_GB2312" w:eastAsia="仿宋_GB2312" w:cs="仿宋_GB2312"/>
          <w:bCs/>
          <w:color w:val="0F1115"/>
          <w:sz w:val="32"/>
          <w:szCs w:val="32"/>
          <w:lang w:val="en-US" w:eastAsia="zh-CN"/>
        </w:rPr>
      </w:pPr>
      <w:r>
        <w:rPr>
          <w:rFonts w:hint="eastAsia" w:ascii="仿宋_GB2312" w:hAnsi="仿宋_GB2312" w:eastAsia="仿宋_GB2312" w:cs="仿宋_GB2312"/>
          <w:bCs/>
          <w:color w:val="0F1115"/>
          <w:sz w:val="32"/>
          <w:szCs w:val="32"/>
        </w:rPr>
        <w:t>通过系统梳理并比较以学位论文或实践成果两类申请学位路径的培养过程环节，厘清各自定位、优势与适用情境，探索构建以“研究真问题、产出真成果”为导向，</w:t>
      </w:r>
      <w:r>
        <w:rPr>
          <w:rFonts w:hint="default" w:ascii="仿宋_GB2312" w:hAnsi="仿宋_GB2312" w:eastAsia="仿宋_GB2312" w:cs="仿宋_GB2312"/>
          <w:bCs/>
          <w:color w:val="0F1115"/>
          <w:sz w:val="32"/>
          <w:szCs w:val="32"/>
          <w:lang w:val="en-US" w:eastAsia="zh-CN"/>
        </w:rPr>
        <w:t>构建覆盖选题、企业攻关、成果凝练、答辩评审全流程的实践成果学位申请完整实施方案，完善分类评价指标体系，为卓越工程师分类精准培育、差异化质量评价、高水平学位授予提供制度支撑与实操依据。</w:t>
      </w:r>
    </w:p>
    <w:p w14:paraId="226D403F">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3" w:firstLineChars="200"/>
        <w:textAlignment w:val="auto"/>
        <w:rPr>
          <w:rFonts w:hint="default"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（八）</w:t>
      </w:r>
      <w:r>
        <w:rPr>
          <w:rFonts w:hint="default" w:ascii="Times New Roman" w:hAnsi="Times New Roman" w:eastAsia="仿宋_GB2312" w:cs="Times New Roman"/>
          <w:b/>
          <w:bCs/>
          <w:color w:val="000000"/>
          <w:kern w:val="2"/>
          <w:sz w:val="32"/>
          <w:szCs w:val="32"/>
          <w:lang w:val="en-US" w:eastAsia="zh-CN" w:bidi="ar-SA"/>
        </w:rPr>
        <w:t>卓越工程师培养质量保障与持续改进闭环机制研究</w:t>
      </w:r>
    </w:p>
    <w:p w14:paraId="3FFA4160">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0" w:firstLineChars="200"/>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eastAsia" w:ascii="Times New Roman" w:hAnsi="Times New Roman" w:eastAsia="仿宋_GB2312" w:cs="Times New Roman"/>
          <w:b w:val="0"/>
          <w:bCs w:val="0"/>
          <w:color w:val="000000"/>
          <w:kern w:val="2"/>
          <w:sz w:val="32"/>
          <w:szCs w:val="32"/>
          <w:lang w:val="en-US" w:eastAsia="zh-CN" w:bidi="ar-SA"/>
        </w:rPr>
        <w:t>围绕卓越工程师</w:t>
      </w:r>
      <w:r>
        <w:rPr>
          <w:rFonts w:hint="default" w:ascii="Times New Roman" w:hAnsi="Times New Roman" w:eastAsia="仿宋_GB2312" w:cs="Times New Roman"/>
          <w:b w:val="0"/>
          <w:bCs w:val="0"/>
          <w:color w:val="000000"/>
          <w:kern w:val="2"/>
          <w:sz w:val="32"/>
          <w:szCs w:val="32"/>
          <w:lang w:val="en-US" w:eastAsia="zh-CN" w:bidi="ar-SA"/>
        </w:rPr>
        <w:t>培养特色要求，围绕招生选拔、课程教学、企业实践、导师指导、学位评价、毕业追踪全培养链条排查质量管控短板，联动学校、企业、行业专家多方主体搭建覆盖工学交替全过程、全链条、全方位的校企协同内部质量保障体系，同步完善吸纳上级评估、第三方诊断、企业及用人单位反馈的外部质量保障渠道，依托内外评价结果校企联合搭建问题识别、整改落实、多方征询、成效复盘、动态迭代的长效持续改进闭环，形成适配卓越工程师产教融合育人模式的全流程质量管控实施路径。</w:t>
      </w:r>
    </w:p>
    <w:p w14:paraId="24A4EC38">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3" w:firstLineChars="200"/>
        <w:textAlignment w:val="auto"/>
        <w:rPr>
          <w:rFonts w:hint="default"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（九）</w:t>
      </w:r>
      <w:r>
        <w:rPr>
          <w:rFonts w:hint="default" w:ascii="Times New Roman" w:hAnsi="Times New Roman" w:eastAsia="仿宋_GB2312" w:cs="Times New Roman"/>
          <w:b/>
          <w:bCs/>
          <w:color w:val="000000"/>
          <w:kern w:val="2"/>
          <w:sz w:val="32"/>
          <w:szCs w:val="32"/>
          <w:lang w:val="en-US" w:eastAsia="zh-CN" w:bidi="ar-SA"/>
        </w:rPr>
        <w:t>卓越工程师职业发展追踪与培养反馈研究</w:t>
      </w:r>
    </w:p>
    <w:p w14:paraId="5094026B">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0" w:firstLineChars="200"/>
        <w:textAlignment w:val="auto"/>
        <w:rPr>
          <w:rFonts w:hint="default" w:ascii="Times New Roman" w:hAnsi="Times New Roman" w:eastAsia="仿宋_GB2312" w:cs="Times New Roman"/>
          <w:b w:val="0"/>
          <w:bCs w:val="0"/>
          <w:color w:val="000000"/>
          <w:kern w:val="2"/>
          <w:sz w:val="32"/>
          <w:szCs w:val="32"/>
          <w:lang w:val="en-US" w:eastAsia="zh-CN" w:bidi="ar-SA"/>
        </w:rPr>
      </w:pPr>
      <w:r>
        <w:rPr>
          <w:rFonts w:hint="default" w:ascii="Times New Roman" w:hAnsi="Times New Roman" w:eastAsia="仿宋_GB2312" w:cs="Times New Roman"/>
          <w:b w:val="0"/>
          <w:bCs w:val="0"/>
          <w:color w:val="000000"/>
          <w:kern w:val="2"/>
          <w:sz w:val="32"/>
          <w:szCs w:val="32"/>
          <w:lang w:val="en-US" w:eastAsia="zh-CN" w:bidi="ar-SA"/>
        </w:rPr>
        <w:t>建立毕业卓越工程师长期职业发展跟踪调研机制，面向航空航天企事业单位开展毕业生岗位适配度、工程创新能力、职业成长周期、行业岗位需求变化常态化调研。梳理现有培养体系短板与优化方向，搭建毕业生反馈反向赋能在校培养的沟通渠道，形成长效调研工作机制、数据分析报告，为动态迭代培养方案、优化产教融合育人模式提供持续的数据支撑与现实依据。</w:t>
      </w:r>
    </w:p>
    <w:p w14:paraId="61DE6084">
      <w:pPr>
        <w:keepNext w:val="0"/>
        <w:keepLines w:val="0"/>
        <w:pageBreakBefore w:val="0"/>
        <w:widowControl w:val="0"/>
        <w:numPr>
          <w:ilvl w:val="0"/>
          <w:numId w:val="0"/>
        </w:numPr>
        <w:tabs>
          <w:tab w:val="left" w:pos="29"/>
          <w:tab w:val="left" w:pos="499"/>
        </w:tabs>
        <w:kinsoku/>
        <w:wordWrap/>
        <w:overflowPunct/>
        <w:topLinePunct w:val="0"/>
        <w:autoSpaceDE/>
        <w:autoSpaceDN/>
        <w:bidi w:val="0"/>
        <w:adjustRightInd/>
        <w:snapToGrid/>
        <w:spacing w:line="518" w:lineRule="exact"/>
        <w:ind w:left="0" w:leftChars="0" w:firstLine="643" w:firstLineChars="200"/>
        <w:textAlignment w:val="auto"/>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（十）卓越工程师培养其他关键问题研究</w:t>
      </w:r>
    </w:p>
    <w:p w14:paraId="25E7149C">
      <w:pPr>
        <w:spacing w:line="560" w:lineRule="exact"/>
        <w:ind w:firstLine="640" w:firstLineChars="200"/>
        <w:rPr>
          <w:rFonts w:hint="eastAsia" w:ascii="仿宋_GB2312" w:hAnsi="仿宋_GB2312" w:eastAsia="仿宋_GB2312" w:cs="仿宋_GB2312"/>
          <w:bCs/>
          <w:color w:val="0F1115"/>
          <w:sz w:val="32"/>
          <w:szCs w:val="32"/>
          <w:lang w:eastAsia="zh-CN"/>
        </w:rPr>
      </w:pPr>
      <w:r>
        <w:rPr>
          <w:rFonts w:hint="eastAsia" w:ascii="仿宋_GB2312" w:hAnsi="仿宋_GB2312" w:eastAsia="仿宋_GB2312" w:cs="仿宋_GB2312"/>
          <w:bCs/>
          <w:color w:val="0F1115"/>
          <w:sz w:val="32"/>
          <w:szCs w:val="32"/>
        </w:rPr>
        <w:t>聚焦卓越工程师培养中的价值引领核心议题，研究将思想政治教育、工程师文化传承、</w:t>
      </w:r>
      <w:r>
        <w:rPr>
          <w:rFonts w:hint="eastAsia" w:ascii="仿宋_GB2312" w:hAnsi="仿宋_GB2312" w:eastAsia="仿宋_GB2312" w:cs="仿宋_GB2312"/>
          <w:bCs/>
          <w:color w:val="0F1115"/>
          <w:sz w:val="32"/>
          <w:szCs w:val="32"/>
          <w:lang w:val="en-US" w:eastAsia="zh-CN"/>
        </w:rPr>
        <w:t>卓越工程师培养</w:t>
      </w:r>
      <w:r>
        <w:rPr>
          <w:rFonts w:hint="eastAsia" w:ascii="仿宋_GB2312" w:hAnsi="仿宋_GB2312" w:eastAsia="仿宋_GB2312" w:cs="仿宋_GB2312"/>
          <w:bCs/>
          <w:color w:val="0F1115"/>
          <w:sz w:val="32"/>
          <w:szCs w:val="32"/>
        </w:rPr>
        <w:t>认证</w:t>
      </w:r>
      <w:r>
        <w:rPr>
          <w:rFonts w:hint="eastAsia" w:ascii="仿宋_GB2312" w:hAnsi="仿宋_GB2312" w:eastAsia="仿宋_GB2312" w:cs="仿宋_GB2312"/>
          <w:bCs/>
          <w:color w:val="0F1115"/>
          <w:sz w:val="32"/>
          <w:szCs w:val="32"/>
          <w:lang w:val="en-US" w:eastAsia="zh-CN"/>
        </w:rPr>
        <w:t>标准</w:t>
      </w:r>
      <w:r>
        <w:rPr>
          <w:rFonts w:hint="eastAsia" w:ascii="仿宋_GB2312" w:hAnsi="仿宋_GB2312" w:eastAsia="仿宋_GB2312" w:cs="仿宋_GB2312"/>
          <w:bCs/>
          <w:color w:val="0F1115"/>
          <w:sz w:val="32"/>
          <w:szCs w:val="32"/>
        </w:rPr>
        <w:t>等，深度融入人才培养全过程的实施路径与教育方案，为持续建立健全卓越工程师培养生态提供政策建议与教育方案</w:t>
      </w:r>
      <w:r>
        <w:rPr>
          <w:rFonts w:hint="eastAsia" w:ascii="仿宋_GB2312" w:hAnsi="仿宋_GB2312" w:eastAsia="仿宋_GB2312" w:cs="仿宋_GB2312"/>
          <w:bCs/>
          <w:color w:val="0F1115"/>
          <w:sz w:val="32"/>
          <w:szCs w:val="32"/>
          <w:lang w:eastAsia="zh-CN"/>
        </w:rPr>
        <w:t>。</w:t>
      </w:r>
    </w:p>
    <w:p w14:paraId="245C1293">
      <w:pPr>
        <w:spacing w:line="560" w:lineRule="exact"/>
        <w:ind w:firstLine="640" w:firstLineChars="200"/>
        <w:rPr>
          <w:rFonts w:hint="eastAsia" w:ascii="仿宋_GB2312" w:hAnsi="仿宋_GB2312" w:eastAsia="仿宋_GB2312" w:cs="仿宋_GB2312"/>
          <w:bCs/>
          <w:color w:val="0F1115"/>
          <w:sz w:val="32"/>
          <w:szCs w:val="32"/>
          <w:lang w:val="en-US" w:eastAsia="zh-CN"/>
        </w:rPr>
      </w:pPr>
      <w:r>
        <w:rPr>
          <w:rFonts w:hint="eastAsia" w:ascii="仿宋_GB2312" w:hAnsi="仿宋_GB2312" w:eastAsia="仿宋_GB2312" w:cs="仿宋_GB2312"/>
          <w:bCs/>
          <w:color w:val="0F1115"/>
          <w:sz w:val="32"/>
          <w:szCs w:val="32"/>
          <w:lang w:val="en-US" w:eastAsia="zh-CN"/>
        </w:rPr>
        <w:t>立足立德树人根本要求，紧扣航空航天卓越工程师价值塑造核心任务，围绕思政铸魂、大国工程师文化传承、工程伦理规范培育等重点议题开展研究，探索将价值引领要素有机贯通课堂教学、企业攻关实践、校企联合指导全培养链条的落地载体与实操路径，形成成套育人实施方案与配套管理举措，为系统完善卓越工程师一体化培育生态提供可行对策与实践支撑</w:t>
      </w:r>
    </w:p>
    <w:p w14:paraId="09DADECB">
      <w:pPr>
        <w:spacing w:line="560" w:lineRule="exact"/>
        <w:ind w:firstLine="640" w:firstLineChars="200"/>
        <w:rPr>
          <w:rFonts w:hint="default" w:ascii="黑体" w:hAnsi="黑体" w:eastAsia="黑体" w:cs="黑体"/>
          <w:bCs/>
          <w:color w:val="0F1115"/>
          <w:sz w:val="32"/>
          <w:szCs w:val="32"/>
          <w:lang w:val="en-US" w:eastAsia="zh-CN"/>
        </w:rPr>
      </w:pPr>
      <w:r>
        <w:rPr>
          <w:rFonts w:hint="eastAsia" w:ascii="黑体" w:hAnsi="黑体" w:eastAsia="黑体" w:cs="黑体"/>
          <w:bCs/>
          <w:color w:val="0F1115"/>
          <w:sz w:val="32"/>
          <w:szCs w:val="32"/>
          <w:lang w:val="en-US" w:eastAsia="zh-CN"/>
        </w:rPr>
        <w:t>二、卓越工程师产教融合教育资源建设项目</w:t>
      </w:r>
    </w:p>
    <w:p w14:paraId="159BD08C">
      <w:pPr>
        <w:spacing w:line="560" w:lineRule="exact"/>
        <w:ind w:firstLine="640" w:firstLineChars="200"/>
        <w:rPr>
          <w:rFonts w:hint="eastAsia" w:ascii="仿宋_GB2312" w:hAnsi="仿宋_GB2312" w:eastAsia="仿宋_GB2312" w:cs="仿宋_GB2312"/>
          <w:bCs/>
          <w:color w:val="0F1115"/>
          <w:sz w:val="32"/>
          <w:szCs w:val="32"/>
          <w:lang w:val="en-US" w:eastAsia="zh-CN"/>
        </w:rPr>
      </w:pPr>
      <w:r>
        <w:rPr>
          <w:rFonts w:hint="eastAsia" w:ascii="仿宋_GB2312" w:hAnsi="仿宋_GB2312" w:eastAsia="仿宋_GB2312" w:cs="仿宋_GB2312"/>
          <w:bCs/>
          <w:color w:val="0F1115"/>
          <w:sz w:val="32"/>
          <w:szCs w:val="32"/>
          <w:lang w:val="en-US" w:eastAsia="zh-CN"/>
        </w:rPr>
        <w:t>本类项目围绕卓越工程师培养开展教学资源建设，核心突出校企合作、产教深度融合导向，具体要求如下：</w:t>
      </w:r>
    </w:p>
    <w:p w14:paraId="3C068C7E">
      <w:pPr>
        <w:spacing w:line="560" w:lineRule="exact"/>
        <w:ind w:firstLine="640" w:firstLineChars="200"/>
        <w:rPr>
          <w:rFonts w:hint="eastAsia" w:ascii="仿宋_GB2312" w:hAnsi="仿宋_GB2312" w:eastAsia="仿宋_GB2312" w:cs="仿宋_GB2312"/>
          <w:bCs/>
          <w:color w:val="0F1115"/>
          <w:sz w:val="32"/>
          <w:szCs w:val="32"/>
          <w:lang w:val="en-US" w:eastAsia="zh-CN"/>
        </w:rPr>
      </w:pPr>
      <w:r>
        <w:rPr>
          <w:rFonts w:hint="eastAsia" w:ascii="仿宋_GB2312" w:hAnsi="仿宋_GB2312" w:eastAsia="仿宋_GB2312" w:cs="仿宋_GB2312"/>
          <w:bCs/>
          <w:color w:val="0F1115"/>
          <w:sz w:val="32"/>
          <w:szCs w:val="32"/>
          <w:lang w:val="en-US" w:eastAsia="zh-CN"/>
        </w:rPr>
        <w:t>1. 依托校企合作平台、企业真实工程项目、产业岗位标准等扎实产教融合基础开展建设；</w:t>
      </w:r>
    </w:p>
    <w:p w14:paraId="4FCB29D9">
      <w:pPr>
        <w:spacing w:line="560" w:lineRule="exact"/>
        <w:ind w:firstLine="640" w:firstLineChars="200"/>
        <w:rPr>
          <w:rFonts w:hint="eastAsia" w:ascii="仿宋_GB2312" w:hAnsi="仿宋_GB2312" w:eastAsia="仿宋_GB2312" w:cs="仿宋_GB2312"/>
          <w:bCs/>
          <w:color w:val="0F1115"/>
          <w:sz w:val="32"/>
          <w:szCs w:val="32"/>
          <w:lang w:val="en-US" w:eastAsia="zh-CN"/>
        </w:rPr>
      </w:pPr>
      <w:r>
        <w:rPr>
          <w:rFonts w:hint="eastAsia" w:ascii="仿宋_GB2312" w:hAnsi="仿宋_GB2312" w:eastAsia="仿宋_GB2312" w:cs="仿宋_GB2312"/>
          <w:bCs/>
          <w:color w:val="0F1115"/>
          <w:sz w:val="32"/>
          <w:szCs w:val="32"/>
          <w:lang w:val="en-US" w:eastAsia="zh-CN"/>
        </w:rPr>
        <w:t>2. 支持校企联合共建课程、编撰特色教材，贴合卓越工程师培养体系要求；</w:t>
      </w:r>
    </w:p>
    <w:p w14:paraId="7B93534F">
      <w:pPr>
        <w:spacing w:line="560" w:lineRule="exact"/>
        <w:ind w:firstLine="640" w:firstLineChars="200"/>
        <w:rPr>
          <w:rFonts w:hint="eastAsia" w:ascii="仿宋_GB2312" w:hAnsi="仿宋_GB2312" w:eastAsia="仿宋_GB2312" w:cs="仿宋_GB2312"/>
          <w:bCs/>
          <w:color w:val="0F1115"/>
          <w:sz w:val="32"/>
          <w:szCs w:val="32"/>
          <w:lang w:val="en-US" w:eastAsia="zh-CN"/>
        </w:rPr>
      </w:pPr>
      <w:r>
        <w:rPr>
          <w:rFonts w:hint="eastAsia" w:ascii="仿宋_GB2312" w:hAnsi="仿宋_GB2312" w:eastAsia="仿宋_GB2312" w:cs="仿宋_GB2312"/>
          <w:bCs/>
          <w:color w:val="0F1115"/>
          <w:sz w:val="32"/>
          <w:szCs w:val="32"/>
          <w:lang w:val="en-US" w:eastAsia="zh-CN"/>
        </w:rPr>
        <w:t>3 优先遴选校企协同共建、赋能工程实践育人、贴合行业发展的建设项目。</w:t>
      </w:r>
    </w:p>
    <w:p w14:paraId="76F5E7A2">
      <w:pPr>
        <w:spacing w:line="560" w:lineRule="exact"/>
        <w:ind w:firstLine="640" w:firstLineChars="200"/>
        <w:rPr>
          <w:rFonts w:hint="default" w:ascii="黑体" w:hAnsi="黑体" w:eastAsia="黑体" w:cs="黑体"/>
          <w:bCs/>
          <w:color w:val="0F1115"/>
          <w:sz w:val="32"/>
          <w:szCs w:val="32"/>
          <w:lang w:val="en-US" w:eastAsia="zh-CN"/>
        </w:rPr>
      </w:pPr>
      <w:r>
        <w:rPr>
          <w:rFonts w:hint="eastAsia" w:ascii="黑体" w:hAnsi="黑体" w:eastAsia="黑体" w:cs="黑体"/>
          <w:bCs/>
          <w:color w:val="0F1115"/>
          <w:sz w:val="32"/>
          <w:szCs w:val="32"/>
          <w:lang w:val="en-US" w:eastAsia="zh-CN"/>
        </w:rPr>
        <w:t>三、卓越工程师优秀校企导师组培育项目</w:t>
      </w:r>
    </w:p>
    <w:p w14:paraId="50EC5565">
      <w:pPr>
        <w:spacing w:line="560" w:lineRule="exact"/>
        <w:ind w:firstLine="640" w:firstLineChars="200"/>
        <w:rPr>
          <w:rFonts w:hint="default" w:ascii="仿宋_GB2312" w:hAnsi="仿宋_GB2312" w:eastAsia="仿宋_GB2312" w:cs="仿宋_GB2312"/>
          <w:bCs/>
          <w:color w:val="0F1115"/>
          <w:sz w:val="32"/>
          <w:szCs w:val="32"/>
          <w:lang w:val="en-US" w:eastAsia="zh-CN"/>
        </w:rPr>
      </w:pPr>
      <w:r>
        <w:rPr>
          <w:rFonts w:hint="eastAsia" w:ascii="仿宋_GB2312" w:hAnsi="仿宋_GB2312" w:eastAsia="仿宋_GB2312" w:cs="仿宋_GB2312"/>
          <w:bCs/>
          <w:color w:val="0F1115"/>
          <w:sz w:val="32"/>
          <w:szCs w:val="32"/>
          <w:lang w:val="en-US" w:eastAsia="zh-CN"/>
        </w:rPr>
        <w:t>立足卓越工程师产教融合育人核心目标，紧扣工程人才数字化培育发展要求，遴选培育一批深耕工程硕博士培养一线，在工程实践联合指导、校企协同育人模式创新、高层次工程创新人才培育等方面成效显著的优质校企导师组。</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A2E2AF-5C44-49EB-997F-4394A530C5D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C162D7A1-18FF-4F61-9BC7-2639A73F472C}"/>
  </w:font>
  <w:font w:name="微软雅黑">
    <w:panose1 w:val="020B0503020204020204"/>
    <w:charset w:val="86"/>
    <w:family w:val="auto"/>
    <w:pitch w:val="default"/>
    <w:sig w:usb0="80000287" w:usb1="2ACF3C50" w:usb2="00000016" w:usb3="00000000" w:csb0="0004001F" w:csb1="00000000"/>
  </w:font>
  <w:font w:name="Segoe UI Emoji">
    <w:panose1 w:val="020B0502040204020203"/>
    <w:charset w:val="00"/>
    <w:family w:val="auto"/>
    <w:pitch w:val="default"/>
    <w:sig w:usb0="00000001" w:usb1="02000000" w:usb2="00000000" w:usb3="00000000" w:csb0="00000001" w:csb1="00000000"/>
    <w:embedRegular r:id="rId3" w:fontKey="{EAAF175A-269C-4CAE-940D-4F858353D1D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lYTQ1MmVlZWZiMTA1MzZmMzEwMzMwZDI4ODNlZTkifQ=="/>
  </w:docVars>
  <w:rsids>
    <w:rsidRoot w:val="00000000"/>
    <w:rsid w:val="03062D2F"/>
    <w:rsid w:val="03383216"/>
    <w:rsid w:val="03522419"/>
    <w:rsid w:val="052E01D2"/>
    <w:rsid w:val="08471E20"/>
    <w:rsid w:val="09E902B9"/>
    <w:rsid w:val="0A4A5BF8"/>
    <w:rsid w:val="0BD936D7"/>
    <w:rsid w:val="0C48260B"/>
    <w:rsid w:val="0CB3051F"/>
    <w:rsid w:val="0DDD37B6"/>
    <w:rsid w:val="0F135990"/>
    <w:rsid w:val="0F186B3B"/>
    <w:rsid w:val="130029F6"/>
    <w:rsid w:val="17367C2F"/>
    <w:rsid w:val="180669B0"/>
    <w:rsid w:val="186B56B7"/>
    <w:rsid w:val="18AE31F3"/>
    <w:rsid w:val="18C03380"/>
    <w:rsid w:val="1A0F4768"/>
    <w:rsid w:val="1A381F10"/>
    <w:rsid w:val="1AC51F44"/>
    <w:rsid w:val="1AD8226F"/>
    <w:rsid w:val="1B56010D"/>
    <w:rsid w:val="1CF42E6E"/>
    <w:rsid w:val="1D7243CD"/>
    <w:rsid w:val="1D7D3364"/>
    <w:rsid w:val="1E29229C"/>
    <w:rsid w:val="1E693440"/>
    <w:rsid w:val="1F2D681C"/>
    <w:rsid w:val="22503F34"/>
    <w:rsid w:val="240A66CC"/>
    <w:rsid w:val="24696772"/>
    <w:rsid w:val="268B161A"/>
    <w:rsid w:val="27A60298"/>
    <w:rsid w:val="2C7B043E"/>
    <w:rsid w:val="2D184F35"/>
    <w:rsid w:val="2D6706EB"/>
    <w:rsid w:val="2EBC6814"/>
    <w:rsid w:val="2F5C1340"/>
    <w:rsid w:val="30F82156"/>
    <w:rsid w:val="31230DCD"/>
    <w:rsid w:val="31D71662"/>
    <w:rsid w:val="34B63D06"/>
    <w:rsid w:val="34BE1ECA"/>
    <w:rsid w:val="3555351F"/>
    <w:rsid w:val="359A53D6"/>
    <w:rsid w:val="36575078"/>
    <w:rsid w:val="3BBA45CF"/>
    <w:rsid w:val="3BCE3654"/>
    <w:rsid w:val="3E2D328B"/>
    <w:rsid w:val="3EFC2A5E"/>
    <w:rsid w:val="3FD2104C"/>
    <w:rsid w:val="40C528A8"/>
    <w:rsid w:val="41C9312E"/>
    <w:rsid w:val="42D068DB"/>
    <w:rsid w:val="43382A65"/>
    <w:rsid w:val="43653F07"/>
    <w:rsid w:val="43D441A9"/>
    <w:rsid w:val="444E5D09"/>
    <w:rsid w:val="44500C04"/>
    <w:rsid w:val="447D63FA"/>
    <w:rsid w:val="46752E4C"/>
    <w:rsid w:val="469F284C"/>
    <w:rsid w:val="46AE5331"/>
    <w:rsid w:val="496833C9"/>
    <w:rsid w:val="497A6719"/>
    <w:rsid w:val="4A211429"/>
    <w:rsid w:val="4A217B23"/>
    <w:rsid w:val="4D26727B"/>
    <w:rsid w:val="4D464062"/>
    <w:rsid w:val="50B27620"/>
    <w:rsid w:val="51A965AC"/>
    <w:rsid w:val="54E3424B"/>
    <w:rsid w:val="54F55D2D"/>
    <w:rsid w:val="55952056"/>
    <w:rsid w:val="58353010"/>
    <w:rsid w:val="59F87F5D"/>
    <w:rsid w:val="5BEC322B"/>
    <w:rsid w:val="5D8F55F1"/>
    <w:rsid w:val="5E8F0FA0"/>
    <w:rsid w:val="5EC72837"/>
    <w:rsid w:val="5EEC63F2"/>
    <w:rsid w:val="5F751F44"/>
    <w:rsid w:val="62261C1B"/>
    <w:rsid w:val="6267666C"/>
    <w:rsid w:val="63BD3EBA"/>
    <w:rsid w:val="63D062E3"/>
    <w:rsid w:val="65A977DD"/>
    <w:rsid w:val="678A6742"/>
    <w:rsid w:val="680B56F5"/>
    <w:rsid w:val="68664B20"/>
    <w:rsid w:val="68A8338A"/>
    <w:rsid w:val="697E40EB"/>
    <w:rsid w:val="69DA1D9A"/>
    <w:rsid w:val="6A521800"/>
    <w:rsid w:val="6A8E035E"/>
    <w:rsid w:val="6CED3A62"/>
    <w:rsid w:val="6E4B4EE4"/>
    <w:rsid w:val="6EAE7221"/>
    <w:rsid w:val="715440AF"/>
    <w:rsid w:val="71F81592"/>
    <w:rsid w:val="72D26D2C"/>
    <w:rsid w:val="73D72D76"/>
    <w:rsid w:val="753133BB"/>
    <w:rsid w:val="757840E4"/>
    <w:rsid w:val="79393B8B"/>
    <w:rsid w:val="795F5CE7"/>
    <w:rsid w:val="79D7587D"/>
    <w:rsid w:val="7D0561BE"/>
    <w:rsid w:val="7D3F662B"/>
    <w:rsid w:val="7D4C6582"/>
    <w:rsid w:val="7DA6409D"/>
    <w:rsid w:val="7DEC566F"/>
    <w:rsid w:val="7FBD5515"/>
    <w:rsid w:val="7FD55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401</Words>
  <Characters>403</Characters>
  <Lines>0</Lines>
  <Paragraphs>0</Paragraphs>
  <TotalTime>167</TotalTime>
  <ScaleCrop>false</ScaleCrop>
  <LinksUpToDate>false</LinksUpToDate>
  <CharactersWithSpaces>406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2024-10-21T00:41:00Z</dcterms:created>
  <dc:creator>1</dc:creator>
  <cp:lastModifiedBy>孟梓樵</cp:lastModifiedBy>
  <dcterms:modified xsi:type="dcterms:W3CDTF">2026-06-09T09:12:02Z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146FAE91D34B4B64BB36F18B3CB20BB7_13</vt:lpwstr>
  </property>
  <property fmtid="{D5CDD505-2E9C-101B-9397-08002B2CF9AE}" pid="4" name="KSOTemplateDocerSaveRecord">
    <vt:lpwstr>eyJoZGlkIjoiMjY1N2EyZDI0OGQxYjRhNGQ3YWIyMGVhMjc3MWVkZTIiLCJ1c2VySWQiOiIxNjkwODI2NjI3In0=</vt:lpwstr>
  </property>
</Properties>
</file>